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A05DF" w14:textId="77777777" w:rsidR="00060CF0" w:rsidRDefault="00060CF0" w:rsidP="00060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5B9A05E0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center"/>
        <w:rPr>
          <w:rFonts w:ascii="Cambria,Bold" w:hAnsi="Cambria,Bold" w:cs="Cambria,Bold"/>
          <w:b/>
          <w:bCs/>
          <w:color w:val="365F92"/>
          <w:sz w:val="28"/>
          <w:szCs w:val="28"/>
        </w:rPr>
      </w:pPr>
      <w:r>
        <w:rPr>
          <w:rFonts w:ascii="Cambria,Bold" w:hAnsi="Cambria,Bold" w:cs="Cambria,Bold"/>
          <w:b/>
          <w:bCs/>
          <w:color w:val="365F92"/>
          <w:sz w:val="28"/>
          <w:szCs w:val="28"/>
        </w:rPr>
        <w:t>Notice sur les indicateurs</w:t>
      </w:r>
    </w:p>
    <w:p w14:paraId="5B9A05E1" w14:textId="77777777" w:rsidR="00E974DC" w:rsidRDefault="00E974DC" w:rsidP="00E974DC">
      <w:pPr>
        <w:autoSpaceDE w:val="0"/>
        <w:autoSpaceDN w:val="0"/>
        <w:adjustRightInd w:val="0"/>
        <w:spacing w:after="0" w:line="240" w:lineRule="auto"/>
        <w:jc w:val="center"/>
        <w:rPr>
          <w:rFonts w:ascii="Cambria,Bold" w:hAnsi="Cambria,Bold" w:cs="Cambria,Bold"/>
          <w:b/>
          <w:bCs/>
          <w:color w:val="365F92"/>
          <w:sz w:val="28"/>
          <w:szCs w:val="28"/>
        </w:rPr>
      </w:pPr>
    </w:p>
    <w:p w14:paraId="5B9A05E2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color w:val="000000"/>
          <w:sz w:val="20"/>
          <w:szCs w:val="20"/>
        </w:rPr>
      </w:pP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>Cette notice a pour vocation à servir de guide aux ARS dans le cadre de la remontée annuelle des indicateurs</w:t>
      </w:r>
      <w:r w:rsidR="00E974DC"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>de l’ONIC au plus tard le 31 mars de l’année n+1.</w:t>
      </w:r>
    </w:p>
    <w:p w14:paraId="5B9A05E3" w14:textId="77777777" w:rsidR="00E974DC" w:rsidRDefault="00E974DC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color w:val="000000"/>
          <w:sz w:val="20"/>
          <w:szCs w:val="20"/>
        </w:rPr>
      </w:pPr>
    </w:p>
    <w:p w14:paraId="5B9A05E4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2BE"/>
          <w:sz w:val="26"/>
          <w:szCs w:val="26"/>
        </w:rPr>
      </w:pPr>
      <w:r>
        <w:rPr>
          <w:rFonts w:ascii="Cambria,Bold" w:hAnsi="Cambria,Bold" w:cs="Cambria,Bold"/>
          <w:b/>
          <w:bCs/>
          <w:color w:val="4F82BE"/>
          <w:sz w:val="26"/>
          <w:szCs w:val="26"/>
        </w:rPr>
        <w:t>Fonction n°1 : GOUVERNANCE</w:t>
      </w:r>
    </w:p>
    <w:p w14:paraId="5B9A05E5" w14:textId="77777777" w:rsidR="00E974DC" w:rsidRDefault="00E974DC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2BE"/>
          <w:sz w:val="26"/>
          <w:szCs w:val="26"/>
        </w:rPr>
      </w:pPr>
    </w:p>
    <w:p w14:paraId="5B9A05E6" w14:textId="77777777" w:rsidR="00E974DC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n°1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>« Implication de la direction dans la gestion des risques et le pilotage du programme</w:t>
      </w:r>
      <w:r w:rsidR="00E974DC"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d’actions » </w:t>
      </w:r>
      <w:r>
        <w:rPr>
          <w:rFonts w:ascii="Calibri" w:hAnsi="Calibri" w:cs="Calibri"/>
          <w:color w:val="000000"/>
          <w:sz w:val="20"/>
          <w:szCs w:val="20"/>
        </w:rPr>
        <w:t>porte</w:t>
      </w:r>
      <w:r w:rsidR="00E974DC">
        <w:rPr>
          <w:rFonts w:ascii="Calibri" w:hAnsi="Calibri" w:cs="Calibri"/>
          <w:color w:val="000000"/>
          <w:sz w:val="20"/>
          <w:szCs w:val="20"/>
        </w:rPr>
        <w:t> sur :</w:t>
      </w:r>
    </w:p>
    <w:p w14:paraId="5B9A05E7" w14:textId="77777777" w:rsidR="00060CF0" w:rsidRPr="00E974DC" w:rsidRDefault="00060CF0" w:rsidP="00E974DC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 w:rsidRPr="00E974DC">
        <w:rPr>
          <w:rFonts w:ascii="Calibri" w:hAnsi="Calibri" w:cs="Calibri"/>
          <w:color w:val="000000"/>
          <w:sz w:val="20"/>
          <w:szCs w:val="20"/>
        </w:rPr>
        <w:t>d’une</w:t>
      </w:r>
      <w:proofErr w:type="gramEnd"/>
      <w:r w:rsidRPr="00E974DC">
        <w:rPr>
          <w:rFonts w:ascii="Calibri" w:hAnsi="Calibri" w:cs="Calibri"/>
          <w:color w:val="000000"/>
          <w:sz w:val="20"/>
          <w:szCs w:val="20"/>
        </w:rPr>
        <w:t xml:space="preserve"> part, l’auto-é</w:t>
      </w:r>
      <w:bookmarkStart w:id="0" w:name="_GoBack"/>
      <w:bookmarkEnd w:id="0"/>
      <w:r w:rsidRPr="00E974DC">
        <w:rPr>
          <w:rFonts w:ascii="Calibri" w:hAnsi="Calibri" w:cs="Calibri"/>
          <w:color w:val="000000"/>
          <w:sz w:val="20"/>
          <w:szCs w:val="20"/>
        </w:rPr>
        <w:t xml:space="preserve">valuation (diagnostic, priorisation des actions, mise en </w:t>
      </w:r>
      <w:r w:rsidR="00E974DC" w:rsidRPr="00E974DC">
        <w:rPr>
          <w:rFonts w:ascii="Calibri" w:hAnsi="Calibri" w:cs="Calibri"/>
          <w:color w:val="000000"/>
          <w:sz w:val="20"/>
          <w:szCs w:val="20"/>
        </w:rPr>
        <w:t>œuvre</w:t>
      </w:r>
      <w:r w:rsidRPr="00E974DC">
        <w:rPr>
          <w:rFonts w:ascii="Calibri" w:hAnsi="Calibri" w:cs="Calibri"/>
          <w:color w:val="000000"/>
          <w:sz w:val="20"/>
          <w:szCs w:val="20"/>
        </w:rPr>
        <w:t xml:space="preserve"> et suivi</w:t>
      </w:r>
      <w:r w:rsidR="00E974DC" w:rsidRPr="00E974DC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974DC">
        <w:rPr>
          <w:rFonts w:ascii="Calibri" w:hAnsi="Calibri" w:cs="Calibri"/>
          <w:color w:val="000000"/>
          <w:sz w:val="20"/>
          <w:szCs w:val="20"/>
        </w:rPr>
        <w:t>du plan d'actions) avec :</w:t>
      </w:r>
    </w:p>
    <w:p w14:paraId="5B9A05E8" w14:textId="77777777" w:rsidR="00060CF0" w:rsidRPr="00E974DC" w:rsidRDefault="00E974DC" w:rsidP="00E974DC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hAnsi="Calibri" w:cs="Calibri"/>
          <w:color w:val="000000"/>
          <w:sz w:val="20"/>
          <w:szCs w:val="20"/>
        </w:rPr>
        <w:t>l</w:t>
      </w:r>
      <w:r w:rsidR="00060CF0" w:rsidRPr="00E974DC">
        <w:rPr>
          <w:rFonts w:ascii="Calibri" w:hAnsi="Calibri" w:cs="Calibri"/>
          <w:color w:val="000000"/>
          <w:sz w:val="20"/>
          <w:szCs w:val="20"/>
        </w:rPr>
        <w:t>a</w:t>
      </w:r>
      <w:proofErr w:type="gramEnd"/>
      <w:r w:rsidR="00060CF0" w:rsidRPr="00E974DC">
        <w:rPr>
          <w:rFonts w:ascii="Calibri" w:hAnsi="Calibri" w:cs="Calibri"/>
          <w:color w:val="000000"/>
          <w:sz w:val="20"/>
          <w:szCs w:val="20"/>
        </w:rPr>
        <w:t xml:space="preserve"> synthèse de l’auto-évaluation ciblant notamme</w:t>
      </w:r>
      <w:r>
        <w:rPr>
          <w:rFonts w:ascii="Calibri" w:hAnsi="Calibri" w:cs="Calibri"/>
          <w:color w:val="000000"/>
          <w:sz w:val="20"/>
          <w:szCs w:val="20"/>
        </w:rPr>
        <w:t>nt les risques liés au broyage,</w:t>
      </w:r>
      <w:r w:rsidR="00060CF0" w:rsidRPr="00E974DC">
        <w:rPr>
          <w:rFonts w:ascii="Calibri" w:hAnsi="Calibri" w:cs="Calibri"/>
          <w:color w:val="000000"/>
          <w:sz w:val="20"/>
          <w:szCs w:val="20"/>
        </w:rPr>
        <w:t xml:space="preserve"> la réévaluation des</w:t>
      </w:r>
      <w:r w:rsidRPr="00E974DC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prescriptions, </w:t>
      </w:r>
      <w:r w:rsidR="00060CF0" w:rsidRPr="00E974DC">
        <w:rPr>
          <w:rFonts w:ascii="Calibri" w:hAnsi="Calibri" w:cs="Calibri"/>
          <w:color w:val="000000"/>
          <w:sz w:val="20"/>
          <w:szCs w:val="20"/>
        </w:rPr>
        <w:t>l’automédication des patients et la continuité de la PECM (entrées, sorties ou</w:t>
      </w:r>
      <w:r w:rsidRPr="00E974DC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060CF0" w:rsidRPr="00E974DC">
        <w:rPr>
          <w:rFonts w:ascii="Calibri" w:hAnsi="Calibri" w:cs="Calibri"/>
          <w:color w:val="000000"/>
          <w:sz w:val="20"/>
          <w:szCs w:val="20"/>
        </w:rPr>
        <w:t>transferts)</w:t>
      </w:r>
      <w:r>
        <w:rPr>
          <w:rFonts w:ascii="Calibri" w:hAnsi="Calibri" w:cs="Calibri"/>
          <w:color w:val="000000"/>
          <w:sz w:val="20"/>
          <w:szCs w:val="20"/>
        </w:rPr>
        <w:t> ;</w:t>
      </w:r>
    </w:p>
    <w:p w14:paraId="5B9A05E9" w14:textId="77777777" w:rsidR="00060CF0" w:rsidRPr="00E974DC" w:rsidRDefault="00E974DC" w:rsidP="00E974DC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hAnsi="Calibri" w:cs="Calibri"/>
          <w:color w:val="000000"/>
          <w:sz w:val="20"/>
          <w:szCs w:val="20"/>
        </w:rPr>
        <w:t>l</w:t>
      </w:r>
      <w:r w:rsidR="00060CF0" w:rsidRPr="00E974DC">
        <w:rPr>
          <w:rFonts w:ascii="Calibri" w:hAnsi="Calibri" w:cs="Calibri"/>
          <w:color w:val="000000"/>
          <w:sz w:val="20"/>
          <w:szCs w:val="20"/>
        </w:rPr>
        <w:t>’identification</w:t>
      </w:r>
      <w:proofErr w:type="gramEnd"/>
      <w:r w:rsidR="00060CF0" w:rsidRPr="00E974DC">
        <w:rPr>
          <w:rFonts w:ascii="Calibri" w:hAnsi="Calibri" w:cs="Calibri"/>
          <w:color w:val="000000"/>
          <w:sz w:val="20"/>
          <w:szCs w:val="20"/>
        </w:rPr>
        <w:t xml:space="preserve"> et la priorisation des actions d'amélioration ainsi que la mise en </w:t>
      </w:r>
      <w:r w:rsidRPr="00E974DC">
        <w:rPr>
          <w:rFonts w:ascii="Calibri" w:hAnsi="Calibri" w:cs="Calibri"/>
          <w:color w:val="000000"/>
          <w:sz w:val="20"/>
          <w:szCs w:val="20"/>
        </w:rPr>
        <w:t>œuvre</w:t>
      </w:r>
      <w:r w:rsidR="00060CF0" w:rsidRPr="00E974DC">
        <w:rPr>
          <w:rFonts w:ascii="Calibri" w:hAnsi="Calibri" w:cs="Calibri"/>
          <w:color w:val="000000"/>
          <w:sz w:val="20"/>
          <w:szCs w:val="20"/>
        </w:rPr>
        <w:t xml:space="preserve"> et le suivi du</w:t>
      </w:r>
      <w:r w:rsidRPr="00E974DC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plan d’actions ;</w:t>
      </w:r>
    </w:p>
    <w:p w14:paraId="5B9A05EA" w14:textId="77777777" w:rsidR="00060CF0" w:rsidRDefault="00E974DC" w:rsidP="00E974DC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hAnsi="Calibri" w:cs="Calibri"/>
          <w:color w:val="000000"/>
          <w:sz w:val="20"/>
          <w:szCs w:val="20"/>
        </w:rPr>
        <w:t>e</w:t>
      </w:r>
      <w:r w:rsidR="00060CF0" w:rsidRPr="00E974DC">
        <w:rPr>
          <w:rFonts w:ascii="Calibri" w:hAnsi="Calibri" w:cs="Calibri"/>
          <w:color w:val="000000"/>
          <w:sz w:val="20"/>
          <w:szCs w:val="20"/>
        </w:rPr>
        <w:t>t</w:t>
      </w:r>
      <w:proofErr w:type="gramEnd"/>
      <w:r w:rsidR="00060CF0" w:rsidRPr="00E974DC">
        <w:rPr>
          <w:rFonts w:ascii="Calibri" w:hAnsi="Calibri" w:cs="Calibri"/>
          <w:color w:val="000000"/>
          <w:sz w:val="20"/>
          <w:szCs w:val="20"/>
        </w:rPr>
        <w:t xml:space="preserve"> d’autre part</w:t>
      </w:r>
      <w:r>
        <w:rPr>
          <w:rFonts w:ascii="Calibri" w:hAnsi="Calibri" w:cs="Calibri"/>
          <w:color w:val="000000"/>
          <w:sz w:val="20"/>
          <w:szCs w:val="20"/>
        </w:rPr>
        <w:t>,</w:t>
      </w:r>
      <w:r w:rsidR="00060CF0" w:rsidRPr="00E974DC">
        <w:rPr>
          <w:rFonts w:ascii="Calibri" w:hAnsi="Calibri" w:cs="Calibri"/>
          <w:color w:val="000000"/>
          <w:sz w:val="20"/>
          <w:szCs w:val="20"/>
        </w:rPr>
        <w:t xml:space="preserve"> la place de la PECM dans le projet d'établissement et le CPOM (ou la convention </w:t>
      </w:r>
      <w:r>
        <w:rPr>
          <w:rFonts w:ascii="Calibri" w:hAnsi="Calibri" w:cs="Calibri"/>
          <w:color w:val="000000"/>
          <w:sz w:val="20"/>
          <w:szCs w:val="20"/>
        </w:rPr>
        <w:t>t</w:t>
      </w:r>
      <w:r w:rsidR="00060CF0" w:rsidRPr="00E974DC">
        <w:rPr>
          <w:rFonts w:ascii="Calibri" w:hAnsi="Calibri" w:cs="Calibri"/>
          <w:color w:val="000000"/>
          <w:sz w:val="20"/>
          <w:szCs w:val="20"/>
        </w:rPr>
        <w:t>ripartite).</w:t>
      </w:r>
    </w:p>
    <w:p w14:paraId="5B9A05EB" w14:textId="77777777" w:rsidR="00E974DC" w:rsidRPr="00E974DC" w:rsidRDefault="00E974DC" w:rsidP="00E974DC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5EC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n°2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Démarche en faveur de l'amélioration de la qualité » </w:t>
      </w:r>
      <w:r>
        <w:rPr>
          <w:rFonts w:ascii="Calibri" w:hAnsi="Calibri" w:cs="Calibri"/>
          <w:color w:val="000000"/>
          <w:sz w:val="20"/>
          <w:szCs w:val="20"/>
        </w:rPr>
        <w:t>porte à la fois sur la place de la PECM</w:t>
      </w:r>
      <w:r w:rsidR="00E974DC">
        <w:rPr>
          <w:rFonts w:ascii="Calibri" w:hAnsi="Calibri" w:cs="Calibri"/>
          <w:color w:val="000000"/>
          <w:sz w:val="20"/>
          <w:szCs w:val="20"/>
        </w:rPr>
        <w:t xml:space="preserve"> dans </w:t>
      </w:r>
      <w:r>
        <w:rPr>
          <w:rFonts w:ascii="Calibri" w:hAnsi="Calibri" w:cs="Calibri"/>
          <w:color w:val="000000"/>
          <w:sz w:val="20"/>
          <w:szCs w:val="20"/>
        </w:rPr>
        <w:t>les évaluations interne et externe, le système documentaire (documents, procédures et protocoles) et sur</w:t>
      </w:r>
      <w:r w:rsidR="00E974DC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la part de formations spécifiques sur le thème de la PECM dans le plan.</w:t>
      </w:r>
    </w:p>
    <w:p w14:paraId="5B9A05ED" w14:textId="77777777" w:rsidR="00E974DC" w:rsidRDefault="00E974DC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5EE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n°3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Mobilisation des acteurs (CCG) et formalisation des relations (convention) » </w:t>
      </w:r>
      <w:r>
        <w:rPr>
          <w:rFonts w:ascii="Calibri" w:hAnsi="Calibri" w:cs="Calibri"/>
          <w:color w:val="000000"/>
          <w:sz w:val="20"/>
          <w:szCs w:val="20"/>
        </w:rPr>
        <w:t>porte sur la</w:t>
      </w:r>
      <w:r w:rsidR="00E974DC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conformité des réunions de la CCG, son rôle d’instance de consultation et de présentation des travaux relatifs à</w:t>
      </w:r>
      <w:r w:rsidR="00E974DC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la PECM, la participation des pharmaciens concernés et sur les conventions entre EHPAD et Officine(s), EHPAD</w:t>
      </w:r>
      <w:r w:rsidR="00E974DC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et PUI et EHPAD et médecins traitants.</w:t>
      </w:r>
    </w:p>
    <w:p w14:paraId="5B9A05EF" w14:textId="77777777" w:rsidR="00E974DC" w:rsidRDefault="00E974DC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5F0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n°4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Evénements, effets indésirables, alertes ruptures d'approvisionnement » </w:t>
      </w:r>
      <w:r>
        <w:rPr>
          <w:rFonts w:ascii="Calibri" w:hAnsi="Calibri" w:cs="Calibri"/>
          <w:color w:val="000000"/>
          <w:sz w:val="20"/>
          <w:szCs w:val="20"/>
        </w:rPr>
        <w:t>porte sur :</w:t>
      </w:r>
    </w:p>
    <w:p w14:paraId="5B9A05F1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B60088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a gestion des événements indésirables dont la pratique des retours d’expérience, la pratique des</w:t>
      </w:r>
      <w:r w:rsidR="00B60088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signalements en interne et vers l’ARS, mais aussi sur la place de la PECM </w:t>
      </w:r>
      <w:r w:rsidR="00B60088">
        <w:rPr>
          <w:rFonts w:ascii="Calibri" w:hAnsi="Calibri" w:cs="Calibri"/>
          <w:color w:val="000000"/>
          <w:sz w:val="20"/>
          <w:szCs w:val="20"/>
        </w:rPr>
        <w:t>dans le plan de gestion de crise qui intègre la PECM (plan bleu) ;</w:t>
      </w:r>
    </w:p>
    <w:p w14:paraId="5B9A05F2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B60088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a gestion des effets indésirables et la déclaration de ceux-ci liés à des médicaments (coordonnées du</w:t>
      </w:r>
      <w:r w:rsidR="00B60088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centre régional de pharmacovigilance</w:t>
      </w:r>
      <w:r w:rsidR="00B60088">
        <w:rPr>
          <w:rFonts w:ascii="Calibri" w:hAnsi="Calibri" w:cs="Calibri"/>
          <w:color w:val="000000"/>
          <w:sz w:val="20"/>
          <w:szCs w:val="20"/>
        </w:rPr>
        <w:t xml:space="preserve">) ; </w:t>
      </w:r>
    </w:p>
    <w:p w14:paraId="5B9A05F3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B60088">
        <w:rPr>
          <w:rFonts w:ascii="Calibri" w:hAnsi="Calibri" w:cs="Calibri"/>
          <w:color w:val="000000"/>
          <w:sz w:val="20"/>
          <w:szCs w:val="20"/>
        </w:rPr>
        <w:t>e</w:t>
      </w:r>
      <w:r>
        <w:rPr>
          <w:rFonts w:ascii="Calibri" w:hAnsi="Calibri" w:cs="Calibri"/>
          <w:color w:val="000000"/>
          <w:sz w:val="20"/>
          <w:szCs w:val="20"/>
        </w:rPr>
        <w:t>t la gestion des alertes (rupture d'approvisionnement de produits de santé)</w:t>
      </w:r>
      <w:r w:rsidR="00B60088">
        <w:rPr>
          <w:rFonts w:ascii="Calibri" w:hAnsi="Calibri" w:cs="Calibri"/>
          <w:color w:val="000000"/>
          <w:sz w:val="20"/>
          <w:szCs w:val="20"/>
        </w:rPr>
        <w:t>.</w:t>
      </w:r>
    </w:p>
    <w:p w14:paraId="5B9A05F4" w14:textId="77777777" w:rsidR="00B60088" w:rsidRDefault="00B60088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5F5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n°5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Dispositions organisationnelles et ressources humaines » </w:t>
      </w:r>
      <w:r>
        <w:rPr>
          <w:rFonts w:ascii="Calibri" w:hAnsi="Calibri" w:cs="Calibri"/>
          <w:color w:val="000000"/>
          <w:sz w:val="20"/>
          <w:szCs w:val="20"/>
        </w:rPr>
        <w:t>porte sur :</w:t>
      </w:r>
    </w:p>
    <w:p w14:paraId="5B9A05F6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B60088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a fonction de responsable qualité et/ou gestion des risques, référent pour la PECM, poste et mi</w:t>
      </w:r>
      <w:r w:rsidR="00B60088">
        <w:rPr>
          <w:rFonts w:ascii="Calibri" w:hAnsi="Calibri" w:cs="Calibri"/>
          <w:color w:val="000000"/>
          <w:sz w:val="20"/>
          <w:szCs w:val="20"/>
        </w:rPr>
        <w:t>ssions du médecin coordonnateur ;</w:t>
      </w:r>
    </w:p>
    <w:p w14:paraId="5B9A05F7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B60088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es fonctions et qualifications des professionnels à toutes les étapes de la PECM dont celles de l’</w:t>
      </w:r>
      <w:r w:rsidR="00B60088">
        <w:rPr>
          <w:rFonts w:ascii="Calibri" w:hAnsi="Calibri" w:cs="Calibri"/>
          <w:color w:val="000000"/>
          <w:sz w:val="20"/>
          <w:szCs w:val="20"/>
        </w:rPr>
        <w:t>IDEC ;</w:t>
      </w:r>
    </w:p>
    <w:p w14:paraId="5B9A05F8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B60088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’organisation des temps de transmission et de réunions avec les équipes pour des retours</w:t>
      </w:r>
      <w:r w:rsidR="00B60088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d'expérien</w:t>
      </w:r>
      <w:r w:rsidR="00B60088">
        <w:rPr>
          <w:rFonts w:ascii="Calibri" w:hAnsi="Calibri" w:cs="Calibri"/>
          <w:color w:val="000000"/>
          <w:sz w:val="20"/>
          <w:szCs w:val="20"/>
        </w:rPr>
        <w:t>ce et des études de cas ;</w:t>
      </w:r>
    </w:p>
    <w:p w14:paraId="5B9A05F9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B60088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’information sur la PECM pour les nouveaux arrivants, remplaçants et stagiaires (IDE, AS, AMP…).</w:t>
      </w:r>
    </w:p>
    <w:p w14:paraId="5B9A05FA" w14:textId="77777777" w:rsidR="00B60088" w:rsidRDefault="00B60088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5FB" w14:textId="77777777" w:rsidR="00240A1F" w:rsidRDefault="00240A1F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2BE"/>
          <w:sz w:val="26"/>
          <w:szCs w:val="26"/>
        </w:rPr>
      </w:pPr>
    </w:p>
    <w:p w14:paraId="5B9A05FC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2BE"/>
          <w:sz w:val="26"/>
          <w:szCs w:val="26"/>
        </w:rPr>
      </w:pPr>
      <w:r>
        <w:rPr>
          <w:rFonts w:ascii="Cambria,Bold" w:hAnsi="Cambria,Bold" w:cs="Cambria,Bold"/>
          <w:b/>
          <w:bCs/>
          <w:color w:val="4F82BE"/>
          <w:sz w:val="26"/>
          <w:szCs w:val="26"/>
        </w:rPr>
        <w:t>Fonction n°2 : PRISE EN CHARGE</w:t>
      </w:r>
    </w:p>
    <w:p w14:paraId="5B9A05FD" w14:textId="77777777" w:rsidR="00B60088" w:rsidRDefault="00B60088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5FE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n°6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>« Modalités et pratiques d'évaluatio</w:t>
      </w:r>
      <w:r w:rsidR="00B60088"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n des traitements médicamenteux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>(</w:t>
      </w:r>
      <w:r w:rsidR="00B60088"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concertation,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conciliation) » </w:t>
      </w:r>
      <w:r>
        <w:rPr>
          <w:rFonts w:ascii="Calibri" w:hAnsi="Calibri" w:cs="Calibri"/>
          <w:color w:val="000000"/>
          <w:sz w:val="20"/>
          <w:szCs w:val="20"/>
        </w:rPr>
        <w:t>porte sur l’évaluation médicale du traitement à l’</w:t>
      </w:r>
      <w:r w:rsidR="00B60088">
        <w:rPr>
          <w:rFonts w:ascii="Calibri" w:hAnsi="Calibri" w:cs="Calibri"/>
          <w:color w:val="000000"/>
          <w:sz w:val="20"/>
          <w:szCs w:val="20"/>
        </w:rPr>
        <w:t>entrée et ses réévaluations à</w:t>
      </w:r>
      <w:r>
        <w:rPr>
          <w:rFonts w:ascii="Calibri" w:hAnsi="Calibri" w:cs="Calibri"/>
          <w:color w:val="000000"/>
          <w:sz w:val="20"/>
          <w:szCs w:val="20"/>
        </w:rPr>
        <w:t xml:space="preserve"> chaque</w:t>
      </w:r>
      <w:r w:rsidR="00B60088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modification du traitement mais aussi périodique</w:t>
      </w:r>
      <w:r w:rsidR="00B60088">
        <w:rPr>
          <w:rFonts w:ascii="Calibri" w:hAnsi="Calibri" w:cs="Calibri"/>
          <w:color w:val="000000"/>
          <w:sz w:val="20"/>
          <w:szCs w:val="20"/>
        </w:rPr>
        <w:t>ment</w:t>
      </w:r>
      <w:r>
        <w:rPr>
          <w:rFonts w:ascii="Calibri" w:hAnsi="Calibri" w:cs="Calibri"/>
          <w:color w:val="000000"/>
          <w:sz w:val="20"/>
          <w:szCs w:val="20"/>
        </w:rPr>
        <w:t xml:space="preserve"> (au moins une fois par an)</w:t>
      </w:r>
      <w:r w:rsidR="00B60088">
        <w:rPr>
          <w:rFonts w:ascii="Calibri" w:hAnsi="Calibri" w:cs="Calibri"/>
          <w:color w:val="000000"/>
          <w:sz w:val="20"/>
          <w:szCs w:val="20"/>
        </w:rPr>
        <w:t>,</w:t>
      </w:r>
      <w:r>
        <w:rPr>
          <w:rFonts w:ascii="Calibri" w:hAnsi="Calibri" w:cs="Calibri"/>
          <w:color w:val="000000"/>
          <w:sz w:val="20"/>
          <w:szCs w:val="20"/>
        </w:rPr>
        <w:t xml:space="preserve"> associant le pharmacien</w:t>
      </w:r>
      <w:r w:rsidR="00B60088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dispensateur et/ou référent. Une procédure définit les modalités d’information (retour d'hospitalisation…) avec</w:t>
      </w:r>
      <w:r w:rsidR="00B60088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traçabilité dans le dossier médical et de soins.</w:t>
      </w:r>
    </w:p>
    <w:p w14:paraId="5B9A05FF" w14:textId="77777777" w:rsidR="005B6F6E" w:rsidRDefault="005B6F6E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00" w14:textId="77777777" w:rsidR="005B6F6E" w:rsidRDefault="005B6F6E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01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lastRenderedPageBreak/>
        <w:t xml:space="preserve">L’indicateur n°7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Modalités et pratiques de prescription et de dispensation » </w:t>
      </w:r>
      <w:r>
        <w:rPr>
          <w:rFonts w:ascii="Calibri" w:hAnsi="Calibri" w:cs="Calibri"/>
          <w:color w:val="000000"/>
          <w:sz w:val="20"/>
          <w:szCs w:val="20"/>
        </w:rPr>
        <w:t>porte sur :</w:t>
      </w:r>
    </w:p>
    <w:p w14:paraId="5B9A0602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5B6F6E">
        <w:rPr>
          <w:rFonts w:cstheme="minorHAns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 xml:space="preserve">a </w:t>
      </w:r>
      <w:r w:rsidRPr="005B6F6E">
        <w:rPr>
          <w:rFonts w:ascii="Calibri" w:hAnsi="Calibri" w:cs="Calibri"/>
          <w:color w:val="000000"/>
          <w:sz w:val="20"/>
          <w:szCs w:val="20"/>
        </w:rPr>
        <w:t>liste</w:t>
      </w:r>
      <w:r>
        <w:rPr>
          <w:rFonts w:ascii="Calibri" w:hAnsi="Calibri" w:cs="Calibri"/>
          <w:color w:val="000000"/>
          <w:sz w:val="20"/>
          <w:szCs w:val="20"/>
        </w:rPr>
        <w:t xml:space="preserve"> préférentielle des médicaments (LPM), l’existence d’une liste des médicaments à ne pas</w:t>
      </w:r>
      <w:r w:rsidR="005B6F6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broyer (formes galéniques adaptées), disponibilité d’un logiciel d’aide à la prescription (LAP)</w:t>
      </w:r>
      <w:r w:rsidR="005B6F6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03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5B6F6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es actions en faveur de la conformité des prescriptions avec la problématique des retranscriptions</w:t>
      </w:r>
      <w:r w:rsidR="005B6F6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04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5B6F6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a dispensation avec l’utilisation de l’original, l’information sur le bon usage du médicament aux</w:t>
      </w:r>
      <w:r w:rsidR="005B6F6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prescripteurs et personnel et le dossier pharmaceutique.</w:t>
      </w:r>
    </w:p>
    <w:p w14:paraId="5B9A0605" w14:textId="77777777" w:rsidR="005B6F6E" w:rsidRDefault="005B6F6E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06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n°8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Modalités et pratiques de la préparation des médicaments » </w:t>
      </w:r>
      <w:r>
        <w:rPr>
          <w:rFonts w:ascii="Calibri" w:hAnsi="Calibri" w:cs="Calibri"/>
          <w:color w:val="000000"/>
          <w:sz w:val="20"/>
          <w:szCs w:val="20"/>
        </w:rPr>
        <w:t>porte sur la préparation des</w:t>
      </w:r>
      <w:r w:rsidR="005B6F6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médicaments avec :</w:t>
      </w:r>
    </w:p>
    <w:p w14:paraId="5B9A0607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5B6F6E">
        <w:rPr>
          <w:rFonts w:ascii="Calibri" w:hAnsi="Calibri" w:cs="Calibri"/>
          <w:color w:val="000000"/>
          <w:sz w:val="20"/>
          <w:szCs w:val="20"/>
        </w:rPr>
        <w:t>la t</w:t>
      </w:r>
      <w:r>
        <w:rPr>
          <w:rFonts w:ascii="Calibri" w:hAnsi="Calibri" w:cs="Calibri"/>
          <w:color w:val="000000"/>
          <w:sz w:val="20"/>
          <w:szCs w:val="20"/>
        </w:rPr>
        <w:t>raçabilités (actes, produits, identité) jusqu’à l’administration, y compris en cas de</w:t>
      </w:r>
      <w:r w:rsidR="005B6F6E">
        <w:rPr>
          <w:rFonts w:ascii="Calibri" w:hAnsi="Calibri" w:cs="Calibri"/>
          <w:color w:val="000000"/>
          <w:sz w:val="20"/>
          <w:szCs w:val="20"/>
        </w:rPr>
        <w:t xml:space="preserve"> déconditionnement/</w:t>
      </w:r>
      <w:r>
        <w:rPr>
          <w:rFonts w:ascii="Calibri" w:hAnsi="Calibri" w:cs="Calibri"/>
          <w:color w:val="000000"/>
          <w:sz w:val="20"/>
          <w:szCs w:val="20"/>
        </w:rPr>
        <w:t>reconditionnement, double contrôle et la prise en compte des particularités</w:t>
      </w:r>
      <w:r w:rsidR="005B6F6E"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Calibri" w:hAnsi="Calibri" w:cs="Calibri"/>
          <w:color w:val="000000"/>
          <w:sz w:val="20"/>
          <w:szCs w:val="20"/>
        </w:rPr>
        <w:t xml:space="preserve">pour les solutés, collyres, </w:t>
      </w:r>
      <w:proofErr w:type="gramStart"/>
      <w:r>
        <w:rPr>
          <w:rFonts w:ascii="Calibri" w:hAnsi="Calibri" w:cs="Calibri"/>
          <w:color w:val="000000"/>
          <w:sz w:val="20"/>
          <w:szCs w:val="20"/>
        </w:rPr>
        <w:t>etc...</w:t>
      </w:r>
      <w:proofErr w:type="gramEnd"/>
      <w:r w:rsidR="005B6F6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08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5B6F6E">
        <w:rPr>
          <w:rFonts w:ascii="Calibri" w:hAnsi="Calibri" w:cs="Calibri"/>
          <w:color w:val="000000"/>
          <w:sz w:val="20"/>
          <w:szCs w:val="20"/>
        </w:rPr>
        <w:t>le</w:t>
      </w:r>
      <w:r>
        <w:rPr>
          <w:rFonts w:ascii="Calibri" w:hAnsi="Calibri" w:cs="Calibri"/>
          <w:color w:val="000000"/>
          <w:sz w:val="20"/>
          <w:szCs w:val="20"/>
        </w:rPr>
        <w:t xml:space="preserve"> recours à un automate selon différents scénarios impliquant l’EHPAD, la PUI ou l’officine reposant</w:t>
      </w:r>
      <w:r w:rsidR="00044BDB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selon les cas sur les IDE, les préparateurs en pharmacie et les pharmaciens.</w:t>
      </w:r>
    </w:p>
    <w:p w14:paraId="5B9A0609" w14:textId="77777777" w:rsidR="00AE339E" w:rsidRDefault="00AE339E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0A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n°9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Modalités et pratiques d'administration des médicaments » </w:t>
      </w:r>
      <w:r>
        <w:rPr>
          <w:rFonts w:ascii="Calibri" w:hAnsi="Calibri" w:cs="Calibri"/>
          <w:color w:val="000000"/>
          <w:sz w:val="20"/>
          <w:szCs w:val="20"/>
        </w:rPr>
        <w:t>porte sur :</w:t>
      </w:r>
    </w:p>
    <w:p w14:paraId="5B9A060B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AE339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’</w:t>
      </w:r>
      <w:r w:rsidR="00AE339E">
        <w:rPr>
          <w:rFonts w:ascii="Calibri" w:hAnsi="Calibri" w:cs="Calibri"/>
          <w:color w:val="000000"/>
          <w:sz w:val="20"/>
          <w:szCs w:val="20"/>
        </w:rPr>
        <w:t>i</w:t>
      </w:r>
      <w:r>
        <w:rPr>
          <w:rFonts w:ascii="Calibri" w:hAnsi="Calibri" w:cs="Calibri"/>
          <w:color w:val="000000"/>
          <w:sz w:val="20"/>
          <w:szCs w:val="20"/>
        </w:rPr>
        <w:t>dentification (résident et personnels), les traçabilités des actes, produits, informations (en cas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d’administration comme de non administration)</w:t>
      </w:r>
      <w:r w:rsidR="00AE339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0C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AE339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e respect des règles l’hygiène (dispositifs doseurs, matériel utilisés pour le broyage), le contrôle des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dates de péremption dont la durée limite d'utilisation après ouverture sur le conditionnement entamé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(gouttes buvables…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) ou </w:t>
      </w:r>
      <w:r>
        <w:rPr>
          <w:rFonts w:ascii="Calibri" w:hAnsi="Calibri" w:cs="Calibri"/>
          <w:color w:val="000000"/>
          <w:sz w:val="20"/>
          <w:szCs w:val="20"/>
        </w:rPr>
        <w:t>le plus court possibles pour les préparations de certains médicaments (mélangés avec un liquide, à écraser avec le moment de l'administration)</w:t>
      </w:r>
      <w:r w:rsidR="00AE339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0D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AE339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es situations où des personnes chargées des actes de la vie courante peuvent aider à l’administration,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les patients gèrent leurs médicaments et les situations avec intervention des ressources d’une autre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structure (EHPAD).</w:t>
      </w:r>
    </w:p>
    <w:p w14:paraId="5B9A060E" w14:textId="77777777" w:rsidR="00AE339E" w:rsidRDefault="00AE339E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0F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n°10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Surveillance et situations cliniques » </w:t>
      </w:r>
      <w:r>
        <w:rPr>
          <w:rFonts w:ascii="Calibri" w:hAnsi="Calibri" w:cs="Calibri"/>
          <w:color w:val="000000"/>
          <w:sz w:val="20"/>
          <w:szCs w:val="20"/>
        </w:rPr>
        <w:t>porte sur :</w:t>
      </w:r>
    </w:p>
    <w:p w14:paraId="5B9A0610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AE339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a prise en char</w:t>
      </w:r>
      <w:r w:rsidR="00AE339E">
        <w:rPr>
          <w:rFonts w:ascii="Calibri" w:hAnsi="Calibri" w:cs="Calibri"/>
          <w:color w:val="000000"/>
          <w:sz w:val="20"/>
          <w:szCs w:val="20"/>
        </w:rPr>
        <w:t>ge de la douleur ;</w:t>
      </w:r>
    </w:p>
    <w:p w14:paraId="5B9A0611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AE339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es soins palliatifs et fin de vie (sédation profonde, directives anticipées, personne de confiance) et les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conditions d’accessibilité à des médicaments à rétrocession hospitalière, aux opioïdes, au protoxyde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d'azote</w:t>
      </w:r>
      <w:r w:rsidR="00AE339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12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AE339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a prise en charge de résidents atteints de maladie de Parkinson (respect du nombre de prises et des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horaires d'administration notamment en cas d’hospitalisation) et les cas de traitement par pompe à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apomorphine</w:t>
      </w:r>
      <w:r w:rsidR="00AE339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13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AE339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a surveillance liée à certaines classes thérapeutiques et les situations cliniques ou biologiques devant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conduire à la recherche d’une cause médicamenteuse.</w:t>
      </w:r>
    </w:p>
    <w:p w14:paraId="5B9A0614" w14:textId="77777777" w:rsidR="00AE339E" w:rsidRDefault="00AE339E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15" w14:textId="77777777" w:rsidR="00240A1F" w:rsidRDefault="00240A1F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2BE"/>
          <w:sz w:val="26"/>
          <w:szCs w:val="26"/>
        </w:rPr>
      </w:pPr>
    </w:p>
    <w:p w14:paraId="5B9A0616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2BE"/>
          <w:sz w:val="26"/>
          <w:szCs w:val="26"/>
        </w:rPr>
      </w:pPr>
      <w:r>
        <w:rPr>
          <w:rFonts w:ascii="Cambria,Bold" w:hAnsi="Cambria,Bold" w:cs="Cambria,Bold"/>
          <w:b/>
          <w:bCs/>
          <w:color w:val="4F82BE"/>
          <w:sz w:val="26"/>
          <w:szCs w:val="26"/>
        </w:rPr>
        <w:t>Fonction n°3 : SUPPORT</w:t>
      </w:r>
    </w:p>
    <w:p w14:paraId="5B9A0617" w14:textId="77777777" w:rsidR="00AE339E" w:rsidRDefault="00AE339E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2BE"/>
          <w:sz w:val="26"/>
          <w:szCs w:val="26"/>
        </w:rPr>
      </w:pPr>
    </w:p>
    <w:p w14:paraId="5B9A0618" w14:textId="77777777" w:rsidR="00AE339E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n°11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Modalités de prise en compte de la PECM dans le système d'information » </w:t>
      </w:r>
      <w:r w:rsidR="00AE339E">
        <w:rPr>
          <w:rFonts w:ascii="Calibri" w:hAnsi="Calibri" w:cs="Calibri"/>
          <w:color w:val="000000"/>
          <w:sz w:val="20"/>
          <w:szCs w:val="20"/>
        </w:rPr>
        <w:t>porte sur :</w:t>
      </w:r>
    </w:p>
    <w:p w14:paraId="5B9A0619" w14:textId="77777777" w:rsidR="00AE339E" w:rsidRPr="00AE339E" w:rsidRDefault="00AE339E" w:rsidP="00AE339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 w:rsidRPr="00AE339E">
        <w:rPr>
          <w:rFonts w:ascii="Calibri" w:hAnsi="Calibri" w:cs="Calibri"/>
          <w:color w:val="000000"/>
          <w:sz w:val="20"/>
          <w:szCs w:val="20"/>
        </w:rPr>
        <w:t>le</w:t>
      </w:r>
      <w:proofErr w:type="gramEnd"/>
      <w:r w:rsidRP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060CF0" w:rsidRPr="00AE339E">
        <w:rPr>
          <w:rFonts w:ascii="Calibri" w:hAnsi="Calibri" w:cs="Calibri"/>
          <w:color w:val="000000"/>
          <w:sz w:val="20"/>
          <w:szCs w:val="20"/>
        </w:rPr>
        <w:t>type de système d'information en place (propre ou intégrant la PECM)</w:t>
      </w:r>
      <w:r w:rsidRPr="00AE339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1A" w14:textId="77777777" w:rsidR="00AE339E" w:rsidRDefault="00060CF0" w:rsidP="00AE339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 w:rsidRPr="00AE339E">
        <w:rPr>
          <w:rFonts w:ascii="Calibri" w:hAnsi="Calibri" w:cs="Calibri"/>
          <w:color w:val="000000"/>
          <w:sz w:val="20"/>
          <w:szCs w:val="20"/>
        </w:rPr>
        <w:t>la</w:t>
      </w:r>
      <w:proofErr w:type="gramEnd"/>
      <w:r w:rsidRPr="00AE339E">
        <w:rPr>
          <w:rFonts w:ascii="Calibri" w:hAnsi="Calibri" w:cs="Calibri"/>
          <w:color w:val="000000"/>
          <w:sz w:val="20"/>
          <w:szCs w:val="20"/>
        </w:rPr>
        <w:t xml:space="preserve"> disponibilité du logiciel d'aide à la</w:t>
      </w:r>
      <w:r w:rsidR="00AE339E" w:rsidRP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AE339E">
        <w:rPr>
          <w:rFonts w:ascii="Calibri" w:hAnsi="Calibri" w:cs="Calibri"/>
          <w:color w:val="000000"/>
          <w:sz w:val="20"/>
          <w:szCs w:val="20"/>
        </w:rPr>
        <w:t>prescription (LAP) agréé par la H</w:t>
      </w:r>
      <w:r w:rsidR="00AE339E" w:rsidRPr="00AE339E">
        <w:rPr>
          <w:rFonts w:ascii="Calibri" w:hAnsi="Calibri" w:cs="Calibri"/>
          <w:color w:val="000000"/>
          <w:sz w:val="20"/>
          <w:szCs w:val="20"/>
        </w:rPr>
        <w:t xml:space="preserve">aute </w:t>
      </w:r>
      <w:r w:rsidRPr="00AE339E">
        <w:rPr>
          <w:rFonts w:ascii="Calibri" w:hAnsi="Calibri" w:cs="Calibri"/>
          <w:color w:val="000000"/>
          <w:sz w:val="20"/>
          <w:szCs w:val="20"/>
        </w:rPr>
        <w:t>A</w:t>
      </w:r>
      <w:r w:rsidR="00AE339E" w:rsidRPr="00AE339E">
        <w:rPr>
          <w:rFonts w:ascii="Calibri" w:hAnsi="Calibri" w:cs="Calibri"/>
          <w:color w:val="000000"/>
          <w:sz w:val="20"/>
          <w:szCs w:val="20"/>
        </w:rPr>
        <w:t>utorité de santé (HAS)</w:t>
      </w:r>
      <w:r w:rsidR="00AE339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1B" w14:textId="77777777" w:rsidR="00AE339E" w:rsidRDefault="00060CF0" w:rsidP="00AE339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 w:rsidRPr="00AE339E">
        <w:rPr>
          <w:rFonts w:ascii="Calibri" w:hAnsi="Calibri" w:cs="Calibri"/>
          <w:color w:val="000000"/>
          <w:sz w:val="20"/>
          <w:szCs w:val="20"/>
        </w:rPr>
        <w:t>les</w:t>
      </w:r>
      <w:proofErr w:type="gramEnd"/>
      <w:r w:rsidRPr="00AE339E">
        <w:rPr>
          <w:rFonts w:ascii="Calibri" w:hAnsi="Calibri" w:cs="Calibri"/>
          <w:color w:val="000000"/>
          <w:sz w:val="20"/>
          <w:szCs w:val="20"/>
        </w:rPr>
        <w:t xml:space="preserve"> actions menées pour optimisées la saisie en directe des prescriptions</w:t>
      </w:r>
      <w:r w:rsidR="00AE339E">
        <w:rPr>
          <w:rFonts w:ascii="Calibri" w:hAnsi="Calibri" w:cs="Calibri"/>
          <w:color w:val="000000"/>
          <w:sz w:val="20"/>
          <w:szCs w:val="20"/>
        </w:rPr>
        <w:t> ;</w:t>
      </w:r>
    </w:p>
    <w:p w14:paraId="5B9A061C" w14:textId="77777777" w:rsidR="00AE339E" w:rsidRDefault="00060CF0" w:rsidP="00AE339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 w:rsidRPr="00AE339E">
        <w:rPr>
          <w:rFonts w:ascii="Calibri" w:hAnsi="Calibri" w:cs="Calibri"/>
          <w:color w:val="000000"/>
          <w:sz w:val="20"/>
          <w:szCs w:val="20"/>
        </w:rPr>
        <w:t>l’intégration</w:t>
      </w:r>
      <w:proofErr w:type="gramEnd"/>
      <w:r w:rsidRPr="00AE339E">
        <w:rPr>
          <w:rFonts w:ascii="Calibri" w:hAnsi="Calibri" w:cs="Calibri"/>
          <w:color w:val="000000"/>
          <w:sz w:val="20"/>
          <w:szCs w:val="20"/>
        </w:rPr>
        <w:t xml:space="preserve"> des dossiers ayant un lien avec la PECM (admission, médical, soins infirmiers, liaison d’urgence) </w:t>
      </w:r>
    </w:p>
    <w:p w14:paraId="5B9A061D" w14:textId="77777777" w:rsidR="00060CF0" w:rsidRPr="00AE339E" w:rsidRDefault="00060CF0" w:rsidP="00AE339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 w:rsidRPr="00AE339E">
        <w:rPr>
          <w:rFonts w:ascii="Calibri" w:hAnsi="Calibri" w:cs="Calibri"/>
          <w:color w:val="000000"/>
          <w:sz w:val="20"/>
          <w:szCs w:val="20"/>
        </w:rPr>
        <w:t>et</w:t>
      </w:r>
      <w:proofErr w:type="gramEnd"/>
      <w:r w:rsidR="00AE339E" w:rsidRP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AE339E">
        <w:rPr>
          <w:rFonts w:ascii="Calibri" w:hAnsi="Calibri" w:cs="Calibri"/>
          <w:color w:val="000000"/>
          <w:sz w:val="20"/>
          <w:szCs w:val="20"/>
        </w:rPr>
        <w:t>la sécurisation par les droits d’accès.</w:t>
      </w:r>
    </w:p>
    <w:p w14:paraId="5B9A061E" w14:textId="77777777" w:rsidR="00AE339E" w:rsidRDefault="00AE339E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1F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n°12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Modalités et pratiques de transport des médicaments et autres produits de santé » </w:t>
      </w:r>
      <w:r>
        <w:rPr>
          <w:rFonts w:ascii="Calibri" w:hAnsi="Calibri" w:cs="Calibri"/>
          <w:color w:val="000000"/>
          <w:sz w:val="20"/>
          <w:szCs w:val="20"/>
        </w:rPr>
        <w:t>porte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sur :</w:t>
      </w:r>
    </w:p>
    <w:p w14:paraId="5B9A0620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AE339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’usage des chariots ou conteneurs clos fermés à clef ou autre système de fermeture assurant la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même sécurité (EHPAD avec PUI), des paquets scellés (EHPAD avec officine), la concordance entre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prescription et médicaments délivrés au moment de </w:t>
      </w:r>
      <w:r w:rsidR="00AE339E">
        <w:rPr>
          <w:rFonts w:ascii="Calibri" w:hAnsi="Calibri" w:cs="Calibri"/>
          <w:color w:val="000000"/>
          <w:sz w:val="20"/>
          <w:szCs w:val="20"/>
        </w:rPr>
        <w:t>la livraison ;</w:t>
      </w:r>
    </w:p>
    <w:p w14:paraId="5B9A0621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AE339E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es spécificités pour le transport des médicaments stupéfiants, pour le maintien de la qualité des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produits thermosensibles.</w:t>
      </w:r>
    </w:p>
    <w:p w14:paraId="5B9A0622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lastRenderedPageBreak/>
        <w:t xml:space="preserve">L’indicateur n°13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Modalités et pratiques de réception, rangement et stockage au sein de l'EHPAD » </w:t>
      </w:r>
      <w:r>
        <w:rPr>
          <w:rFonts w:ascii="Calibri" w:hAnsi="Calibri" w:cs="Calibri"/>
          <w:color w:val="000000"/>
          <w:sz w:val="20"/>
          <w:szCs w:val="20"/>
        </w:rPr>
        <w:t>porte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sur la désignation d’une personne référent, l’utilisation de matériels adaptés et de contenance suffisante pour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les délivrances nominatives (bacs, tiroirs, casiers, sachets...), l’existence</w:t>
      </w:r>
      <w:r w:rsidR="00240A1F">
        <w:rPr>
          <w:rFonts w:ascii="Calibri" w:hAnsi="Calibri" w:cs="Calibri"/>
          <w:color w:val="000000"/>
          <w:sz w:val="20"/>
          <w:szCs w:val="20"/>
        </w:rPr>
        <w:t xml:space="preserve"> de locaux avec pièce sécurisée</w:t>
      </w:r>
      <w:r>
        <w:rPr>
          <w:rFonts w:ascii="Calibri" w:hAnsi="Calibri" w:cs="Calibri"/>
          <w:color w:val="000000"/>
          <w:sz w:val="20"/>
          <w:szCs w:val="20"/>
        </w:rPr>
        <w:t>, accès</w:t>
      </w:r>
      <w:r w:rsidR="00AE33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réservé et espace suffisant et le respect de conditions particulières pour les médicaments de la dotation pour</w:t>
      </w:r>
      <w:r w:rsidR="00240A1F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besoins urgents, pour les stupéfiants, la chaine du froid (médicaments thermosensible), la détention de</w:t>
      </w:r>
      <w:r w:rsidR="00240A1F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l'oxygène.</w:t>
      </w:r>
    </w:p>
    <w:p w14:paraId="5B9A0623" w14:textId="77777777" w:rsidR="00240A1F" w:rsidRDefault="00240A1F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24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n°14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Dotation pour soins urgents » </w:t>
      </w:r>
      <w:r>
        <w:rPr>
          <w:rFonts w:ascii="Calibri" w:hAnsi="Calibri" w:cs="Calibri"/>
          <w:color w:val="000000"/>
          <w:sz w:val="20"/>
          <w:szCs w:val="20"/>
        </w:rPr>
        <w:t>porte sur la composition de la dotation pour besoins urgents,</w:t>
      </w:r>
      <w:r w:rsidR="00240A1F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le recours à celle-ci, son accessibilité jour et nuit, l’identification de la personne chargée de la détention et</w:t>
      </w:r>
      <w:r w:rsidR="00240A1F">
        <w:rPr>
          <w:rFonts w:ascii="Calibri" w:hAnsi="Calibri" w:cs="Calibri"/>
          <w:color w:val="000000"/>
          <w:sz w:val="20"/>
          <w:szCs w:val="20"/>
        </w:rPr>
        <w:t xml:space="preserve"> de la </w:t>
      </w:r>
      <w:r>
        <w:rPr>
          <w:rFonts w:ascii="Calibri" w:hAnsi="Calibri" w:cs="Calibri"/>
          <w:color w:val="000000"/>
          <w:sz w:val="20"/>
          <w:szCs w:val="20"/>
        </w:rPr>
        <w:t>dispensation des médicaments pour soins urgents lorsque celles-ci placées sous la responsabilité d'un médecin</w:t>
      </w:r>
      <w:r w:rsidR="00240A1F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attaché à l'EHPAD ou d'un pharmacien ayant passé convention avec </w:t>
      </w:r>
      <w:proofErr w:type="gramStart"/>
      <w:r>
        <w:rPr>
          <w:rFonts w:ascii="Calibri" w:hAnsi="Calibri" w:cs="Calibri"/>
          <w:color w:val="000000"/>
          <w:sz w:val="20"/>
          <w:szCs w:val="20"/>
        </w:rPr>
        <w:t>l'EHPAD</w:t>
      </w:r>
      <w:r w:rsidR="00240A1F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 (</w:t>
      </w:r>
      <w:proofErr w:type="gramEnd"/>
      <w:r>
        <w:rPr>
          <w:rFonts w:ascii="Calibri" w:hAnsi="Calibri" w:cs="Calibri"/>
          <w:color w:val="000000"/>
          <w:sz w:val="20"/>
          <w:szCs w:val="20"/>
        </w:rPr>
        <w:t>EHPAD sans PUI), sa révision, son</w:t>
      </w:r>
      <w:r w:rsidR="00240A1F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contrôle et son renouvellement.</w:t>
      </w:r>
    </w:p>
    <w:p w14:paraId="5B9A0625" w14:textId="77777777" w:rsidR="00240A1F" w:rsidRDefault="00240A1F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26" w14:textId="77777777" w:rsidR="00240A1F" w:rsidRDefault="00240A1F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B9A0627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2BE"/>
          <w:sz w:val="26"/>
          <w:szCs w:val="26"/>
        </w:rPr>
      </w:pPr>
      <w:r>
        <w:rPr>
          <w:rFonts w:ascii="Cambria,Bold" w:hAnsi="Cambria,Bold" w:cs="Cambria,Bold"/>
          <w:b/>
          <w:bCs/>
          <w:color w:val="4F82BE"/>
          <w:sz w:val="26"/>
          <w:szCs w:val="26"/>
        </w:rPr>
        <w:t>Fonction n°4 : RELATIONS AVEC L’EXTERIEUR</w:t>
      </w:r>
    </w:p>
    <w:p w14:paraId="5B9A0628" w14:textId="77777777" w:rsidR="00240A1F" w:rsidRDefault="00240A1F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2BE"/>
          <w:sz w:val="26"/>
          <w:szCs w:val="26"/>
        </w:rPr>
      </w:pPr>
    </w:p>
    <w:p w14:paraId="5B9A0629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L’indicateur n°15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« Relations avec les opérateurs impliqués dans l’appui </w:t>
      </w:r>
      <w:r w:rsidR="0009308D">
        <w:rPr>
          <w:rFonts w:ascii="Calibri,Bold" w:hAnsi="Calibri,Bold" w:cs="Calibri,Bold"/>
          <w:b/>
          <w:bCs/>
          <w:color w:val="000000"/>
          <w:sz w:val="20"/>
          <w:szCs w:val="20"/>
        </w:rPr>
        <w:t>de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 la PECM en EHPAD (bonnes</w:t>
      </w:r>
      <w:r w:rsidR="00240A1F"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 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>pratiques et prise en charge</w:t>
      </w:r>
      <w:r w:rsidR="00240A1F">
        <w:rPr>
          <w:rFonts w:ascii="Calibri,Bold" w:hAnsi="Calibri,Bold" w:cs="Calibri,Bold"/>
          <w:b/>
          <w:bCs/>
          <w:color w:val="000000"/>
          <w:sz w:val="20"/>
          <w:szCs w:val="20"/>
        </w:rPr>
        <w:t>)</w:t>
      </w:r>
      <w:r>
        <w:rPr>
          <w:rFonts w:ascii="Calibri,Bold" w:hAnsi="Calibri,Bold" w:cs="Calibri,Bold"/>
          <w:b/>
          <w:bCs/>
          <w:color w:val="000000"/>
          <w:sz w:val="20"/>
          <w:szCs w:val="20"/>
        </w:rPr>
        <w:t xml:space="preserve"> » </w:t>
      </w:r>
      <w:r>
        <w:rPr>
          <w:rFonts w:ascii="Calibri" w:hAnsi="Calibri" w:cs="Calibri"/>
          <w:color w:val="000000"/>
          <w:sz w:val="20"/>
          <w:szCs w:val="20"/>
        </w:rPr>
        <w:t>porte sur :</w:t>
      </w:r>
    </w:p>
    <w:p w14:paraId="5B9A062A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 w:rsidR="0009308D">
        <w:rPr>
          <w:rFonts w:ascii="Symbol" w:hAnsi="Symbol" w:cs="Symbol"/>
          <w:color w:val="000000"/>
          <w:sz w:val="20"/>
          <w:szCs w:val="20"/>
        </w:rPr>
        <w:t></w:t>
      </w:r>
      <w:r w:rsidR="0009308D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’identification des opérateurs régionaux en appui et accompagnement (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OMéDIT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, réseau qualité,</w:t>
      </w:r>
      <w:r w:rsidR="0009308D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CRPV, CPIAS …), la participation aux réunions régionales thématiques, à des groupes de travail</w:t>
      </w:r>
      <w:r w:rsidR="0009308D">
        <w:rPr>
          <w:rFonts w:ascii="Calibri" w:hAnsi="Calibri" w:cs="Calibri"/>
          <w:color w:val="000000"/>
          <w:sz w:val="20"/>
          <w:szCs w:val="20"/>
        </w:rPr>
        <w:t xml:space="preserve"> territoriaux sur la PECM, l’u</w:t>
      </w:r>
      <w:r>
        <w:rPr>
          <w:rFonts w:ascii="Calibri" w:hAnsi="Calibri" w:cs="Calibri"/>
          <w:color w:val="000000"/>
          <w:sz w:val="20"/>
          <w:szCs w:val="20"/>
        </w:rPr>
        <w:t>tilisation des travaux relatifs à la PECM élaborés par (ou avec) opérateurs</w:t>
      </w:r>
      <w:r w:rsidR="0009308D">
        <w:rPr>
          <w:rFonts w:ascii="Calibri" w:hAnsi="Calibri" w:cs="Calibri"/>
          <w:color w:val="000000"/>
          <w:sz w:val="20"/>
          <w:szCs w:val="20"/>
        </w:rPr>
        <w:t> régionaux ;</w:t>
      </w:r>
    </w:p>
    <w:p w14:paraId="5B9A062B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09308D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es relations avec la plateforme territoriale d'appui (PTA), une coordination gérontologique du</w:t>
      </w:r>
      <w:r w:rsidR="0009308D">
        <w:rPr>
          <w:rFonts w:ascii="Calibri" w:hAnsi="Calibri" w:cs="Calibri"/>
          <w:color w:val="000000"/>
          <w:sz w:val="20"/>
          <w:szCs w:val="20"/>
        </w:rPr>
        <w:t xml:space="preserve"> territoire ;</w:t>
      </w:r>
    </w:p>
    <w:p w14:paraId="5B9A062C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09308D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es collaborations avec les opérateurs régionaux (HAD, réseaux, secteur psychiatrique...) pouvant</w:t>
      </w:r>
      <w:r w:rsidR="0009308D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apporter un appui en ressources humaines en interne (actes de soins et/ou conseils) ou assurer un</w:t>
      </w:r>
      <w:r w:rsidR="0009308D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relai en cas de besoins en soins renforcés : unité d'hébergement renforcé (UHR), soins de suite et de</w:t>
      </w:r>
      <w:r w:rsidR="0009308D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réadaptation (SSR), unités d'hospitalisation gériatriques, psychiatriques….</w:t>
      </w:r>
    </w:p>
    <w:p w14:paraId="5B9A062D" w14:textId="77777777" w:rsidR="00060CF0" w:rsidRDefault="00060CF0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</w:t>
      </w:r>
      <w:r>
        <w:rPr>
          <w:rFonts w:ascii="Symbol" w:hAnsi="Symbol" w:cs="Symbol"/>
          <w:color w:val="000000"/>
          <w:sz w:val="20"/>
          <w:szCs w:val="20"/>
        </w:rPr>
        <w:t></w:t>
      </w:r>
      <w:r w:rsidR="0009308D">
        <w:rPr>
          <w:rFonts w:ascii="Calibri" w:hAnsi="Calibri" w:cs="Calibri"/>
          <w:color w:val="000000"/>
          <w:sz w:val="20"/>
          <w:szCs w:val="20"/>
        </w:rPr>
        <w:t>l</w:t>
      </w:r>
      <w:r>
        <w:rPr>
          <w:rFonts w:ascii="Calibri" w:hAnsi="Calibri" w:cs="Calibri"/>
          <w:color w:val="000000"/>
          <w:sz w:val="20"/>
          <w:szCs w:val="20"/>
        </w:rPr>
        <w:t>a formalisation de conventions avec les opérateurs, des liens avec un groupement social et médicosocial</w:t>
      </w:r>
    </w:p>
    <w:p w14:paraId="5B9A062E" w14:textId="77777777" w:rsidR="00171587" w:rsidRDefault="00171587" w:rsidP="00E974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(GCSMS), </w:t>
      </w:r>
      <w:r w:rsidR="00060CF0">
        <w:rPr>
          <w:rFonts w:ascii="Calibri" w:hAnsi="Calibri" w:cs="Calibri"/>
          <w:color w:val="000000"/>
          <w:sz w:val="20"/>
          <w:szCs w:val="20"/>
        </w:rPr>
        <w:t xml:space="preserve">avec un groupement </w:t>
      </w:r>
      <w:r>
        <w:rPr>
          <w:rFonts w:ascii="Calibri" w:hAnsi="Calibri" w:cs="Calibri"/>
          <w:color w:val="000000"/>
          <w:sz w:val="20"/>
          <w:szCs w:val="20"/>
        </w:rPr>
        <w:t>hospitalier de territoire (GHT) ;</w:t>
      </w:r>
    </w:p>
    <w:p w14:paraId="5B9A062F" w14:textId="77777777" w:rsidR="00545416" w:rsidRPr="00171587" w:rsidRDefault="00171587" w:rsidP="0017158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-</w:t>
      </w:r>
      <w:r w:rsidRPr="00171587">
        <w:rPr>
          <w:rFonts w:ascii="Calibri" w:hAnsi="Calibri" w:cs="Calibri"/>
          <w:color w:val="000000"/>
          <w:sz w:val="20"/>
          <w:szCs w:val="20"/>
        </w:rPr>
        <w:t>la</w:t>
      </w:r>
      <w:r w:rsidR="00060CF0" w:rsidRPr="00171587">
        <w:rPr>
          <w:rFonts w:ascii="Calibri" w:hAnsi="Calibri" w:cs="Calibri"/>
          <w:color w:val="000000"/>
          <w:sz w:val="20"/>
          <w:szCs w:val="20"/>
        </w:rPr>
        <w:t xml:space="preserve"> prise en compte dans la mise en </w:t>
      </w:r>
      <w:r w:rsidRPr="00171587">
        <w:rPr>
          <w:rFonts w:ascii="Calibri" w:hAnsi="Calibri" w:cs="Calibri"/>
          <w:color w:val="000000"/>
          <w:sz w:val="20"/>
          <w:szCs w:val="20"/>
        </w:rPr>
        <w:t>œuvre</w:t>
      </w:r>
      <w:r w:rsidR="00060CF0" w:rsidRPr="00171587">
        <w:rPr>
          <w:rFonts w:ascii="Calibri" w:hAnsi="Calibri" w:cs="Calibri"/>
          <w:color w:val="000000"/>
          <w:sz w:val="20"/>
          <w:szCs w:val="20"/>
        </w:rPr>
        <w:t xml:space="preserve"> de sa politique du médicament des demandes et des besoins de la</w:t>
      </w:r>
      <w:r w:rsidRPr="00171587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060CF0" w:rsidRPr="00171587">
        <w:rPr>
          <w:rFonts w:ascii="Calibri" w:hAnsi="Calibri" w:cs="Calibri"/>
          <w:color w:val="000000"/>
          <w:sz w:val="20"/>
          <w:szCs w:val="20"/>
        </w:rPr>
        <w:t>population en associant notamment les associations.</w:t>
      </w:r>
    </w:p>
    <w:sectPr w:rsidR="00545416" w:rsidRPr="0017158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98542" w14:textId="77777777" w:rsidR="00586D44" w:rsidRDefault="00586D44" w:rsidP="00E974DC">
      <w:pPr>
        <w:spacing w:after="0" w:line="240" w:lineRule="auto"/>
      </w:pPr>
      <w:r>
        <w:separator/>
      </w:r>
    </w:p>
  </w:endnote>
  <w:endnote w:type="continuationSeparator" w:id="0">
    <w:p w14:paraId="11FED60D" w14:textId="77777777" w:rsidR="00586D44" w:rsidRDefault="00586D44" w:rsidP="00E97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A0636" w14:textId="70EB4740" w:rsidR="00E974DC" w:rsidRDefault="00A31B91" w:rsidP="00E974DC">
    <w:pPr>
      <w:autoSpaceDE w:val="0"/>
      <w:autoSpaceDN w:val="0"/>
      <w:adjustRightInd w:val="0"/>
      <w:spacing w:after="0" w:line="240" w:lineRule="auto"/>
      <w:rPr>
        <w:rFonts w:ascii="Calibri,Bold" w:hAnsi="Calibri,Bold" w:cs="Calibri,Bold"/>
        <w:b/>
        <w:bCs/>
        <w:color w:val="000000"/>
        <w:sz w:val="16"/>
        <w:szCs w:val="16"/>
      </w:rPr>
    </w:pPr>
    <w:r>
      <w:rPr>
        <w:rFonts w:ascii="Calibri,Bold" w:hAnsi="Calibri,Bold" w:cs="Calibri,Bold"/>
        <w:b/>
        <w:bCs/>
        <w:color w:val="000000"/>
        <w:sz w:val="16"/>
        <w:szCs w:val="16"/>
      </w:rPr>
      <w:t>DGCS –2021</w:t>
    </w:r>
    <w:r w:rsidR="00E974DC">
      <w:rPr>
        <w:rFonts w:ascii="Calibri,Bold" w:hAnsi="Calibri,Bold" w:cs="Calibri,Bold"/>
        <w:b/>
        <w:bCs/>
        <w:color w:val="000000"/>
        <w:sz w:val="16"/>
        <w:szCs w:val="16"/>
      </w:rPr>
      <w:t>--Indicateurs-Version-Définitive</w:t>
    </w:r>
  </w:p>
  <w:p w14:paraId="5B9A0637" w14:textId="77777777" w:rsidR="00E974DC" w:rsidRDefault="00E974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DF653" w14:textId="77777777" w:rsidR="00586D44" w:rsidRDefault="00586D44" w:rsidP="00E974DC">
      <w:pPr>
        <w:spacing w:after="0" w:line="240" w:lineRule="auto"/>
      </w:pPr>
      <w:r>
        <w:separator/>
      </w:r>
    </w:p>
  </w:footnote>
  <w:footnote w:type="continuationSeparator" w:id="0">
    <w:p w14:paraId="5600D34C" w14:textId="77777777" w:rsidR="00586D44" w:rsidRDefault="00586D44" w:rsidP="00E97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A0634" w14:textId="742B3851" w:rsidR="005B6F6E" w:rsidRPr="005B6F6E" w:rsidRDefault="005B6F6E" w:rsidP="005B6F6E">
    <w:pPr>
      <w:autoSpaceDE w:val="0"/>
      <w:autoSpaceDN w:val="0"/>
      <w:adjustRightInd w:val="0"/>
      <w:spacing w:after="0" w:line="240" w:lineRule="auto"/>
      <w:jc w:val="center"/>
      <w:rPr>
        <w:rFonts w:ascii="Calibri,Bold" w:hAnsi="Calibri,Bold" w:cs="Calibri,Bold"/>
        <w:b/>
        <w:bCs/>
        <w:color w:val="000000"/>
        <w:sz w:val="20"/>
        <w:szCs w:val="20"/>
      </w:rPr>
    </w:pPr>
    <w:r w:rsidRPr="005B6F6E">
      <w:rPr>
        <w:rFonts w:ascii="Calibri,Bold" w:hAnsi="Calibri,Bold" w:cs="Calibri,Bold"/>
        <w:b/>
        <w:bCs/>
        <w:color w:val="000000"/>
        <w:sz w:val="20"/>
        <w:szCs w:val="20"/>
      </w:rPr>
      <w:t xml:space="preserve">ONIC </w:t>
    </w:r>
    <w:r w:rsidR="00A31B91">
      <w:rPr>
        <w:rFonts w:ascii="Calibri,Bold" w:hAnsi="Calibri,Bold" w:cs="Calibri,Bold"/>
        <w:b/>
        <w:bCs/>
        <w:color w:val="000000"/>
        <w:sz w:val="20"/>
        <w:szCs w:val="20"/>
      </w:rPr>
      <w:t>2021</w:t>
    </w:r>
    <w:r w:rsidRPr="005B6F6E">
      <w:rPr>
        <w:rFonts w:ascii="Calibri,Bold" w:hAnsi="Calibri,Bold" w:cs="Calibri,Bold"/>
        <w:b/>
        <w:bCs/>
        <w:color w:val="000000"/>
        <w:sz w:val="20"/>
        <w:szCs w:val="20"/>
      </w:rPr>
      <w:t xml:space="preserve"> : Inspection – contrôle de la qualité et de la sécurité de la prise en charge médicamenteuse des personnes âgées en EHPAD</w:t>
    </w:r>
  </w:p>
  <w:p w14:paraId="5B9A0635" w14:textId="77777777" w:rsidR="005B6F6E" w:rsidRDefault="005B6F6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51F36"/>
    <w:multiLevelType w:val="hybridMultilevel"/>
    <w:tmpl w:val="2A4AB92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780186"/>
    <w:multiLevelType w:val="hybridMultilevel"/>
    <w:tmpl w:val="5F525016"/>
    <w:lvl w:ilvl="0" w:tplc="42D082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CF0"/>
    <w:rsid w:val="00044BDB"/>
    <w:rsid w:val="00060010"/>
    <w:rsid w:val="00060CF0"/>
    <w:rsid w:val="0009308D"/>
    <w:rsid w:val="00171587"/>
    <w:rsid w:val="00240A1F"/>
    <w:rsid w:val="00325DA8"/>
    <w:rsid w:val="0042320D"/>
    <w:rsid w:val="00586D44"/>
    <w:rsid w:val="005B6F6E"/>
    <w:rsid w:val="00936F0E"/>
    <w:rsid w:val="00940ED3"/>
    <w:rsid w:val="00A31B91"/>
    <w:rsid w:val="00AE339E"/>
    <w:rsid w:val="00B60088"/>
    <w:rsid w:val="00D07DDB"/>
    <w:rsid w:val="00D644F0"/>
    <w:rsid w:val="00E9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A05DF"/>
  <w15:docId w15:val="{7B072AE1-4D65-435F-B7AB-7BB64C230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97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74DC"/>
  </w:style>
  <w:style w:type="paragraph" w:styleId="Pieddepage">
    <w:name w:val="footer"/>
    <w:basedOn w:val="Normal"/>
    <w:link w:val="PieddepageCar"/>
    <w:uiPriority w:val="99"/>
    <w:unhideWhenUsed/>
    <w:rsid w:val="00E97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74DC"/>
  </w:style>
  <w:style w:type="paragraph" w:styleId="Paragraphedeliste">
    <w:name w:val="List Paragraph"/>
    <w:basedOn w:val="Normal"/>
    <w:uiPriority w:val="34"/>
    <w:qFormat/>
    <w:rsid w:val="00E974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6BA9E6B94C6429A27EF81911DCF8B" ma:contentTypeVersion="0" ma:contentTypeDescription="Crée un document." ma:contentTypeScope="" ma:versionID="583601c8cf0e143af89d1aaef0deef0c">
  <xsd:schema xmlns:xsd="http://www.w3.org/2001/XMLSchema" xmlns:p="http://schemas.microsoft.com/office/2006/metadata/properties" targetNamespace="http://schemas.microsoft.com/office/2006/metadata/properties" ma:root="true" ma:fieldsID="75019ab185b48580fc336df4da24a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DB8C-AD2E-40E4-8CBE-4CDC813639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5E0D8-5297-4640-A544-8876CE8F2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3253401-2516-4C53-B1D0-7C3FD7922D6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F95FA92-94A4-4675-96B3-E93A14D6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1420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Ministères Chargés des Affaires Sociales</Company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laurence.lavy</dc:creator>
  <cp:lastModifiedBy>BOUDHAR, Cheriffa (DGCS/SERVICE DES POLITIQUES SOCIALES ET MEDICO SOCIALES/3EME SOU)</cp:lastModifiedBy>
  <cp:revision>2</cp:revision>
  <dcterms:created xsi:type="dcterms:W3CDTF">2021-01-28T13:40:00Z</dcterms:created>
  <dcterms:modified xsi:type="dcterms:W3CDTF">2021-01-28T13:40:00Z</dcterms:modified>
</cp:coreProperties>
</file>